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99 IA 402 vom 10. Oktober 1973</w:t>
      </w:r>
    </w:p>
    <w:p>
      <w:r>
        <w:t>Bundesgericht (BGE), 1973-10-10, DE</w:t>
      </w:r>
    </w:p>
    <w:p>
      <w:r>
        <w:rPr>
          <w:b/>
        </w:rPr>
        <w:t xml:space="preserve">Quelle: </w:t>
      </w:r>
      <w:r>
        <w:t>https://mcp.opencaselaw.ch/entscheid/bge_99 IA 402</w:t>
      </w:r>
    </w:p>
    <w:p>
      <w:r>
        <w:t>FR: BGE 99 IA 402 du 10 octobre 1973</w:t>
      </w:r>
    </w:p>
    <w:p>
      <w:r>
        <w:t>IT: BGE 99 IA 402 del 10 ottobre 1973</w:t>
      </w:r>
    </w:p>
    <w:p>
      <w:pPr>
        <w:pStyle w:val="Heading2"/>
      </w:pPr>
      <w:r>
        <w:t>Regeste</w:t>
      </w:r>
    </w:p>
    <w:p>
      <w:r>
        <w:t>Regeste Art. 85 lit. a OG; Kantonales Initiativrecht, Wiedererwägungsantrag. 1. Das glarnerische Gesetz über das Gemeindewesen lässt einen Wiedererwägungsantrag zu, ungeachtet ob damit die Aufhebung eines Verwaltungsaktes positiven oder negativen Inhaltes angestrebt wird (Erw. 4 a und b). 2. Ausnahmen im Falle, da der Antrag dem Recht des Bundes oder des Kantons zuwiderläuft oder rechtsmissbräuchlich ist, ferner wenn praktische Gründe die Rückgängigkeit ausschliessen (Erw. 4 b und c).</w:t>
      </w:r>
    </w:p>
    <w:p>
      <w:pPr>
        <w:pStyle w:val="Heading2"/>
      </w:pPr>
      <w:r>
        <w:t>Erwägungen</w:t>
      </w:r>
    </w:p>
    <w:p>
      <w:r>
        <w:rPr>
          <w:b/>
        </w:rPr>
        <w:t>E. 4</w:t>
      </w:r>
    </w:p>
    <w:p>
      <w:r>
        <w:t>a) § 2 GG räumt dem Stimmbürger das Recht ein, an der Gemeindeversammlung oder zu ihren Handen Anträge zu stellen. Über die Art der Anträge, die gestellt werden können, enthält das Gesetz keine Bestimmungen. Es ist deshalb anzunehmen, dass das Antragsrecht ein umfassendes ist, auf den Erlass, die Abänderung oder die Aufhebung eines Gemeindegesetzes sowie die Vornahme, die Abänderung oder die Aufhebung eines Verwaltungsaktes gehen kann, letzteres mindestens, soweit die Gemeindeversammlung zuständig ist, selber Verwaltungsakte zu setzen. Eine Einschränkung der Gestaltungsfreiheit der Gemeindeversammlung enthält § 6 GG insofern, als sie die Aufhebung eines beschlossenen Gemeindegesetzes innert Jahresfrist grundsätzlich untersagt. Es dürfte deshalb zulässig sein, einen Antrag, der auf Aufhebung eines solchen Gesetzes vor Ablauf der Jahresfrist geht, nicht in Behandlung zu ziehen, sofern nicht anzunehmen ist, das Gesetz wirke sich offensichtlich zum Nachteil der Gemeinde aus. Doch braucht diese Frage hier nicht entschieden zu werden. Es ist unbestritten, dass es sich bei dem Beschluss, den der Beschwerdeführer in Wiedererwägung gezogen sehen möchte, nicht um ein Gemeindegesetz, sondern um einen Verwaltungsakt, nämlich den Beschluss zur Erstellung einer Strasse, handelt. Das weit gefasste Antragsrecht des GG schliesst auch das Stellen von Wiedererwägungsanträgen nicht aus. Die Möglichkeit, Wiedererwägungsanträge stellen zu können, ist im schweizerischen Staats- und Gemeinderecht weithin anerkannt, wenn auch gelegentlich von der Erfüllung besonderer Erfordernisse, wie z.B. der Erreichung eines qualifizierten Mehrs, abhängig gemacht. Das GG kennt solche Erfordernisse nicht. Insbesondere verlangt es nicht, ein Antragsteller müsse sich auf neue Tatsachen berufen können. b) Das umfassende Recht in § 2 GG lässt eine Unterscheidung zwischen Anträgen, die auf Wiedererwägung eines positiven und solchen, die auf Wiedererwägung eines negativen Verwaltungsaktes gehen, nicht zu. Es mag freilich zutreffen, dass BGE 99 Ia 402 S. 406 der Gesetzgeber bei der Einräumung des weitgefassten Antragsrechtes in erster Linie an neue Anträge materieller Art gedacht hat und nicht an Anträge auf Wiedererwägung von Verwaltungsakten. Dennoch geht es nicht an, eine Lücke im Gesetz anzunehmen. Das verbietet sich schon durch den Umstand, dass § 6 es ausdrücklich untersagt, Gesetze, abgesehen von dem in der Bestimmung genannten Sonderfall, innert Jahresfrist in Wiedererwägung zu ziehen, aber keine solche Einschränkung trifft bezüglich der andern Beschlüsse. Daraus ist zu folgern, dass alle Beschlüsse der Gemeindeversammlung in Wiedererwägung gezogen werden können und zwar ohne Rücksicht darauf, ob sie einen positiven oder negativen Inhalt im dargelegten Sinne haben. Freilich ist diese Folge unter Umständen der Rechtssicherheit und wirksamem Verwaltungshandeln abträglich. Jedoch ist nicht zu befürchten, dass die zweckmässige Tätigkeit der Verwaltung durch das immer erneute Stellen von Wiedererwägungsanträgen dauernd zum Stillstand gebracht wedern könnte. Damit eine Initiative als gültig behandelt werden kann, darfsie nach der bundesgerichtlichen Rechtsprechung einmal dem Recht des Bundes oder des Kantons nicht zuwiderlaufen, was § 8 GG noch ausdrücklich festhält und was hier nicht behauptet wird; sie darf ferner auch nicht rechtsmissbräuchlich sein ( BGE 94 I 126 E. 3). Ein solcher Rechtsmissbrauch könnte allenfalls angenommen werden, wenn Wiedererwägungsanträge gestellt würden, obwohl die Gemeindeversammlung mehr als einmal ihren Willen klar kundgetan hat. Ein erstmaliger Wiedererwägungsantrag, besonders bei knappem Abstimmungsausgang, ist jedoch noch nicht rechtsmissbräuchlich. Mit der Einräumung eines umfassenden Antrags- bzw. Initiativrechtes hat der Gesetzgeber es in Kauf genommen, dass unter Umständen die Verwaltungstätigkeit durch Stimmbürger, die von diesem Recht einen ausgiebigen Gebrauch machen, erschwert wird. Es muss aber hier in erster Linie dem gesunden Bürgersinn anheimgegeben werden, Auswüchse der Versammlungsdemokratie zu verhindern. c) Eine Ausnahme von der Möglichkeit, einen Wiedererwägungsantrag zu stellen, wäre sodann vorzusehen, wenn es praktisch undurchführbar wäre, einen getroffenen Beschluss wieder rückgängig zu machen, z.B. weil das beschlossene Werk schon ganz oder zum grossen Teil ausgeführt ist. Von einer solchen Undurchführbarkeit kann aber unter den gegebenen Umständen BGE 99 Ia 402 S. 407 nicht die Rede sein. Es sind bisher einzig Verhandlungen über die Landabtretung geführt und eine gewisse Anzahl von Verträgen über den Landerwerb durch die Gemeinde geschlossen worden. Mit den Bauarbeiten ist hingegen noch nicht begonnen worden. Die Verträge lassen sich vermutlich wieder rückgängig machen. Selbst wenn das aber nicht der Fall wäre, würde der einzige Nachteil für die Gemeinde darin bestehen, dass sie Land erwerben müsste, das für sie vorderhand wertlos ist. Ob sie allenfalls nutzlose Aufwendungen im Interesse des Widerrufs des beschlossenen Strassenbaus auf sich nehmen will, hat nicht das Bundesgericht, sondern der Stimmbürger zu entscheiden ( BGE 94 I 126 E. 4 b). Die Beschwerde ist deshalb gutzuheissen.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